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BE" w:rsidRDefault="00697ABE" w:rsidP="00697ABE">
      <w:pPr>
        <w:pStyle w:val="1"/>
        <w:jc w:val="center"/>
        <w:rPr>
          <w:shd w:val="clear" w:color="auto" w:fill="FFFFFF"/>
        </w:rPr>
      </w:pPr>
      <w:bookmarkStart w:id="0" w:name="_Toc336084259"/>
      <w:bookmarkStart w:id="1" w:name="_Toc336085341"/>
      <w:bookmarkStart w:id="2" w:name="_Toc336091642"/>
      <w:bookmarkStart w:id="3" w:name="_Toc336093988"/>
      <w:r>
        <w:rPr>
          <w:shd w:val="clear" w:color="auto" w:fill="FFFFFF"/>
        </w:rPr>
        <w:t>Содержание</w:t>
      </w:r>
      <w:bookmarkEnd w:id="0"/>
      <w:bookmarkEnd w:id="1"/>
      <w:bookmarkEnd w:id="2"/>
      <w:bookmarkEnd w:id="3"/>
    </w:p>
    <w:p w:rsidR="00697ABE" w:rsidRDefault="00697ABE" w:rsidP="00697ABE">
      <w:pPr>
        <w:pStyle w:val="11"/>
        <w:tabs>
          <w:tab w:val="right" w:leader="dot" w:pos="9571"/>
        </w:tabs>
        <w:rPr>
          <w:noProof/>
          <w:sz w:val="28"/>
        </w:rPr>
      </w:pPr>
      <w:r>
        <w:rPr>
          <w:sz w:val="28"/>
          <w:shd w:val="clear" w:color="auto" w:fill="FFFFFF"/>
        </w:rPr>
        <w:fldChar w:fldCharType="begin"/>
      </w:r>
      <w:r>
        <w:rPr>
          <w:sz w:val="28"/>
          <w:shd w:val="clear" w:color="auto" w:fill="FFFFFF"/>
        </w:rPr>
        <w:instrText xml:space="preserve"> TOC \o "1-2" \h \z </w:instrText>
      </w:r>
      <w:r>
        <w:rPr>
          <w:sz w:val="28"/>
          <w:shd w:val="clear" w:color="auto" w:fill="FFFFFF"/>
        </w:rPr>
        <w:fldChar w:fldCharType="separate"/>
      </w:r>
    </w:p>
    <w:p w:rsidR="00697ABE" w:rsidRDefault="00697ABE" w:rsidP="00697ABE">
      <w:pPr>
        <w:pStyle w:val="11"/>
        <w:tabs>
          <w:tab w:val="right" w:leader="dot" w:pos="9571"/>
        </w:tabs>
        <w:rPr>
          <w:noProof/>
          <w:sz w:val="28"/>
        </w:rPr>
      </w:pPr>
    </w:p>
    <w:p w:rsidR="00697ABE" w:rsidRDefault="00697ABE" w:rsidP="00697ABE">
      <w:pPr>
        <w:pStyle w:val="11"/>
        <w:tabs>
          <w:tab w:val="right" w:leader="dot" w:pos="9571"/>
        </w:tabs>
        <w:rPr>
          <w:rStyle w:val="a3"/>
          <w:noProof/>
          <w:sz w:val="28"/>
        </w:rPr>
      </w:pPr>
      <w:hyperlink w:anchor="_Toc336093989" w:history="1">
        <w:r>
          <w:rPr>
            <w:rStyle w:val="a3"/>
            <w:noProof/>
            <w:sz w:val="28"/>
            <w:szCs w:val="28"/>
            <w:shd w:val="clear" w:color="auto" w:fill="FFFFFF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_Toc336093989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rPr>
          <w:sz w:val="28"/>
        </w:rPr>
      </w:pPr>
    </w:p>
    <w:p w:rsidR="00697ABE" w:rsidRDefault="00697ABE" w:rsidP="00697ABE">
      <w:pPr>
        <w:pStyle w:val="11"/>
        <w:tabs>
          <w:tab w:val="right" w:leader="dot" w:pos="9571"/>
        </w:tabs>
        <w:rPr>
          <w:noProof/>
          <w:sz w:val="28"/>
        </w:rPr>
      </w:pPr>
      <w:hyperlink w:anchor="_Toc336093990" w:history="1">
        <w:r>
          <w:rPr>
            <w:rStyle w:val="a3"/>
            <w:noProof/>
            <w:sz w:val="28"/>
            <w:szCs w:val="28"/>
            <w:shd w:val="clear" w:color="auto" w:fill="FFFFFF"/>
          </w:rPr>
          <w:t>1 Система внутреннего контроля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pStyle w:val="2"/>
        <w:tabs>
          <w:tab w:val="right" w:leader="dot" w:pos="9571"/>
        </w:tabs>
        <w:ind w:left="0"/>
        <w:rPr>
          <w:noProof/>
          <w:sz w:val="28"/>
        </w:rPr>
      </w:pPr>
      <w:hyperlink w:anchor="_Toc336093991" w:history="1">
        <w:r>
          <w:rPr>
            <w:rStyle w:val="a3"/>
            <w:noProof/>
            <w:sz w:val="28"/>
            <w:shd w:val="clear" w:color="auto" w:fill="FFFFFF"/>
          </w:rPr>
          <w:t>1.1 Понятие системы внутреннего контроля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pStyle w:val="2"/>
        <w:tabs>
          <w:tab w:val="right" w:leader="dot" w:pos="9571"/>
        </w:tabs>
        <w:ind w:left="0"/>
        <w:rPr>
          <w:rStyle w:val="a3"/>
          <w:noProof/>
          <w:sz w:val="28"/>
        </w:rPr>
      </w:pPr>
      <w:hyperlink w:anchor="_Toc336093992" w:history="1">
        <w:r>
          <w:rPr>
            <w:rStyle w:val="a3"/>
            <w:noProof/>
            <w:sz w:val="28"/>
            <w:shd w:val="clear" w:color="auto" w:fill="FFFFFF"/>
          </w:rPr>
          <w:t>1.2 Основные элементы системы внутреннего контроля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rPr>
          <w:sz w:val="28"/>
        </w:rPr>
      </w:pPr>
    </w:p>
    <w:p w:rsidR="00697ABE" w:rsidRDefault="00697ABE" w:rsidP="00697ABE">
      <w:pPr>
        <w:pStyle w:val="11"/>
        <w:tabs>
          <w:tab w:val="right" w:leader="dot" w:pos="9571"/>
        </w:tabs>
        <w:rPr>
          <w:rStyle w:val="a3"/>
          <w:noProof/>
          <w:sz w:val="28"/>
        </w:rPr>
      </w:pPr>
      <w:hyperlink w:anchor="_Toc336093993" w:history="1">
        <w:r>
          <w:rPr>
            <w:rStyle w:val="a3"/>
            <w:noProof/>
            <w:sz w:val="28"/>
            <w:szCs w:val="28"/>
            <w:shd w:val="clear" w:color="auto" w:fill="FFFFFF"/>
          </w:rPr>
          <w:t>2 Цели и объекты внутреннего контроля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rPr>
          <w:sz w:val="28"/>
        </w:rPr>
      </w:pPr>
    </w:p>
    <w:p w:rsidR="00697ABE" w:rsidRDefault="00697ABE" w:rsidP="00697ABE">
      <w:pPr>
        <w:pStyle w:val="11"/>
        <w:tabs>
          <w:tab w:val="right" w:leader="dot" w:pos="9571"/>
        </w:tabs>
        <w:rPr>
          <w:rStyle w:val="a3"/>
          <w:noProof/>
          <w:sz w:val="28"/>
        </w:rPr>
      </w:pPr>
      <w:hyperlink w:anchor="_Toc336093994" w:history="1">
        <w:r>
          <w:rPr>
            <w:rStyle w:val="a3"/>
            <w:noProof/>
            <w:sz w:val="28"/>
            <w:szCs w:val="28"/>
            <w:shd w:val="clear" w:color="auto" w:fill="FFFFFF"/>
          </w:rPr>
          <w:t>3 Сравнительная характеристика внутреннего и внешнего аудита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rPr>
          <w:sz w:val="28"/>
        </w:rPr>
      </w:pPr>
    </w:p>
    <w:p w:rsidR="00697ABE" w:rsidRDefault="00697ABE" w:rsidP="00697ABE">
      <w:pPr>
        <w:pStyle w:val="11"/>
        <w:tabs>
          <w:tab w:val="right" w:leader="dot" w:pos="9571"/>
        </w:tabs>
        <w:rPr>
          <w:rStyle w:val="a3"/>
          <w:noProof/>
          <w:sz w:val="28"/>
        </w:rPr>
      </w:pPr>
      <w:hyperlink w:anchor="_Toc336093995" w:history="1">
        <w:r>
          <w:rPr>
            <w:rStyle w:val="a3"/>
            <w:noProof/>
            <w:sz w:val="28"/>
            <w:szCs w:val="28"/>
            <w:shd w:val="clear" w:color="auto" w:fill="FFFFFF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22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rPr>
          <w:sz w:val="28"/>
        </w:rPr>
      </w:pPr>
    </w:p>
    <w:p w:rsidR="00697ABE" w:rsidRDefault="00697ABE" w:rsidP="00697ABE">
      <w:pPr>
        <w:pStyle w:val="11"/>
        <w:tabs>
          <w:tab w:val="right" w:leader="dot" w:pos="9571"/>
        </w:tabs>
        <w:rPr>
          <w:noProof/>
          <w:sz w:val="28"/>
        </w:rPr>
      </w:pPr>
      <w:hyperlink w:anchor="_Toc336093996" w:history="1">
        <w:r>
          <w:rPr>
            <w:rStyle w:val="a3"/>
            <w:noProof/>
            <w:sz w:val="28"/>
            <w:szCs w:val="28"/>
          </w:rPr>
          <w:t>Списо</w:t>
        </w:r>
        <w:r>
          <w:rPr>
            <w:rStyle w:val="a3"/>
            <w:noProof/>
            <w:sz w:val="28"/>
            <w:szCs w:val="28"/>
          </w:rPr>
          <w:t>к</w:t>
        </w:r>
        <w:r>
          <w:rPr>
            <w:rStyle w:val="a3"/>
            <w:noProof/>
            <w:sz w:val="28"/>
            <w:szCs w:val="28"/>
          </w:rPr>
          <w:t xml:space="preserve">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_Toc336093996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25</w:t>
        </w:r>
        <w:r>
          <w:rPr>
            <w:noProof/>
            <w:webHidden/>
            <w:sz w:val="28"/>
          </w:rPr>
          <w:fldChar w:fldCharType="end"/>
        </w:r>
      </w:hyperlink>
    </w:p>
    <w:p w:rsidR="00697ABE" w:rsidRDefault="00697ABE" w:rsidP="00697ABE">
      <w:pPr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p w:rsidR="00697ABE" w:rsidRDefault="00697ABE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697ABE" w:rsidRDefault="00697ABE" w:rsidP="00697ABE">
      <w:pPr>
        <w:pStyle w:val="1"/>
      </w:pPr>
      <w:bookmarkStart w:id="4" w:name="_Toc336093996"/>
      <w:r>
        <w:lastRenderedPageBreak/>
        <w:t>Список использованной литературы</w:t>
      </w:r>
      <w:bookmarkEnd w:id="4"/>
    </w:p>
    <w:p w:rsidR="00697ABE" w:rsidRDefault="00697ABE" w:rsidP="00697ABE">
      <w:pPr>
        <w:widowControl w:val="0"/>
        <w:ind w:firstLine="567"/>
        <w:jc w:val="both"/>
        <w:rPr>
          <w:sz w:val="28"/>
          <w:lang w:val="en-US"/>
        </w:rPr>
      </w:pPr>
    </w:p>
    <w:p w:rsidR="00697ABE" w:rsidRDefault="00697ABE" w:rsidP="00697ABE">
      <w:pPr>
        <w:widowControl w:val="0"/>
        <w:ind w:firstLine="567"/>
        <w:jc w:val="both"/>
        <w:rPr>
          <w:sz w:val="28"/>
          <w:lang w:val="en-US"/>
        </w:rPr>
      </w:pP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sz w:val="28"/>
        </w:rPr>
      </w:pPr>
      <w:r>
        <w:rPr>
          <w:noProof/>
          <w:sz w:val="28"/>
        </w:rPr>
        <w:t>Международные стандарты аудита в Казахстане. – Алматы: Издательство БИКО, 2001 – 116с.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Пугачев В.В. Внутрений аудит и контроль. Дело и Сервис 2010г. -224с.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Касюк Е.А. Внутрений аудит // Вестник филиала ВЗФЭИ в г. Омске – Омск, 2009.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Торшаева Ш.М. Теория аудита. - Караганда: КУБУП, 2000. – 150 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snapToGrid w:val="0"/>
          <w:sz w:val="28"/>
        </w:rPr>
        <w:t xml:space="preserve">Осадчая В.И. Основы аудита. Учебное пособие. – Караганда: 2002. – 178 с. 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snapToGrid w:val="0"/>
          <w:sz w:val="28"/>
        </w:rPr>
        <w:t>Аренс А., Лоббек Дж. Аудит: Пер. с англ.; Гл. редактор серии проф. Я.В. Соколов. - М.:Финансы и статистика, 2001. - 560 с: ил.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Энциклопедический словарь/ Под ред. И. А. Андриевского. - СПб: Издатели Ф. А. Брокгауз, И. Ф. Ефрон, 1990 - 420с.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Кочинев Ю.Ю. Аудит. – Санкт-Петербург: «Питер», 2005. – 400 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Аудиторская проверка на предприятии // Бюллетень бухгалтера. - №48, 2006. – С. 6-8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bookmarkStart w:id="5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5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Абдыкалыков Т.А. Учет и Аудит: Учебное пособие. - Издательство Казахского Национального Университета имени Аль-Фараби, 2005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Мадиева К.С. Учебно-методический комплекс по дисциплине: «Бухгалтерский учет и аудит». – Караганды: Издательство Карагандинского Экономического Университета, 2006 – 110с.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Дюсембаев К.Ш., Егембердиева С. К., Дюсембаева Е. К. Аудит и анализ финансовой отчетности. – Алматы: Гылым, 1998. – 500 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Шеремет А.Д., Суйц В.П. Аудит: Учебник. — 5-е изд., перераб. и доп. — М.: ИНФРА-М, 2006. — 448 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Березюк В.И. Аудит: Учебное пособие. – Караганда: 2006 – 214с.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>Нурсеитов Э.О. Аудит: Краткое руководство.- Алматы: ТОО «Издательство LEM», 2007.-220 с.</w:t>
      </w:r>
    </w:p>
    <w:p w:rsidR="00697ABE" w:rsidRDefault="00697ABE" w:rsidP="00697ABE">
      <w:pPr>
        <w:widowControl w:val="0"/>
        <w:numPr>
          <w:ilvl w:val="0"/>
          <w:numId w:val="1"/>
        </w:numPr>
        <w:tabs>
          <w:tab w:val="clear" w:pos="1287"/>
          <w:tab w:val="num" w:pos="900"/>
        </w:tabs>
        <w:ind w:left="0" w:firstLine="540"/>
        <w:jc w:val="both"/>
        <w:rPr>
          <w:noProof/>
          <w:sz w:val="28"/>
        </w:rPr>
      </w:pPr>
      <w:r>
        <w:rPr>
          <w:noProof/>
          <w:sz w:val="28"/>
        </w:rPr>
        <w:t xml:space="preserve">Голиков В.М. Особенности аудита консолидированной финансовой отчетности, составленной по МСФО. Вестник университета. – М.: Издательский дом ГОУВПО «ГУУ», 2007.  </w:t>
      </w:r>
    </w:p>
    <w:p w:rsidR="00697ABE" w:rsidRDefault="00697ABE" w:rsidP="00697ABE">
      <w:pPr>
        <w:widowControl w:val="0"/>
        <w:ind w:firstLine="567"/>
        <w:jc w:val="both"/>
        <w:rPr>
          <w:sz w:val="28"/>
        </w:rPr>
      </w:pPr>
    </w:p>
    <w:p w:rsidR="00327539" w:rsidRDefault="00327539" w:rsidP="00697ABE">
      <w:bookmarkStart w:id="6" w:name="_GoBack"/>
      <w:bookmarkEnd w:id="6"/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14FA"/>
    <w:multiLevelType w:val="hybridMultilevel"/>
    <w:tmpl w:val="C24A3C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BE"/>
    <w:rsid w:val="00327539"/>
    <w:rsid w:val="006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BE"/>
    <w:rPr>
      <w:sz w:val="24"/>
      <w:szCs w:val="24"/>
    </w:rPr>
  </w:style>
  <w:style w:type="paragraph" w:styleId="1">
    <w:name w:val="heading 1"/>
    <w:basedOn w:val="a"/>
    <w:link w:val="10"/>
    <w:qFormat/>
    <w:rsid w:val="00697ABE"/>
    <w:pPr>
      <w:ind w:firstLine="567"/>
      <w:jc w:val="both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BE"/>
    <w:rPr>
      <w:bCs/>
      <w:kern w:val="36"/>
      <w:sz w:val="28"/>
      <w:szCs w:val="48"/>
    </w:rPr>
  </w:style>
  <w:style w:type="paragraph" w:styleId="11">
    <w:name w:val="toc 1"/>
    <w:basedOn w:val="a"/>
    <w:next w:val="a"/>
    <w:autoRedefine/>
    <w:semiHidden/>
    <w:rsid w:val="00697ABE"/>
  </w:style>
  <w:style w:type="paragraph" w:styleId="2">
    <w:name w:val="toc 2"/>
    <w:basedOn w:val="a"/>
    <w:next w:val="a"/>
    <w:autoRedefine/>
    <w:semiHidden/>
    <w:rsid w:val="00697ABE"/>
    <w:pPr>
      <w:ind w:left="240"/>
    </w:pPr>
  </w:style>
  <w:style w:type="character" w:styleId="a3">
    <w:name w:val="Hyperlink"/>
    <w:basedOn w:val="a0"/>
    <w:semiHidden/>
    <w:rsid w:val="00697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BE"/>
    <w:rPr>
      <w:sz w:val="24"/>
      <w:szCs w:val="24"/>
    </w:rPr>
  </w:style>
  <w:style w:type="paragraph" w:styleId="1">
    <w:name w:val="heading 1"/>
    <w:basedOn w:val="a"/>
    <w:link w:val="10"/>
    <w:qFormat/>
    <w:rsid w:val="00697ABE"/>
    <w:pPr>
      <w:ind w:firstLine="567"/>
      <w:jc w:val="both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BE"/>
    <w:rPr>
      <w:bCs/>
      <w:kern w:val="36"/>
      <w:sz w:val="28"/>
      <w:szCs w:val="48"/>
    </w:rPr>
  </w:style>
  <w:style w:type="paragraph" w:styleId="11">
    <w:name w:val="toc 1"/>
    <w:basedOn w:val="a"/>
    <w:next w:val="a"/>
    <w:autoRedefine/>
    <w:semiHidden/>
    <w:rsid w:val="00697ABE"/>
  </w:style>
  <w:style w:type="paragraph" w:styleId="2">
    <w:name w:val="toc 2"/>
    <w:basedOn w:val="a"/>
    <w:next w:val="a"/>
    <w:autoRedefine/>
    <w:semiHidden/>
    <w:rsid w:val="00697ABE"/>
    <w:pPr>
      <w:ind w:left="240"/>
    </w:pPr>
  </w:style>
  <w:style w:type="character" w:styleId="a3">
    <w:name w:val="Hyperlink"/>
    <w:basedOn w:val="a0"/>
    <w:semiHidden/>
    <w:rsid w:val="0069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2014-12-11T11:06:00Z</dcterms:created>
  <dcterms:modified xsi:type="dcterms:W3CDTF">2014-12-11T11:07:00Z</dcterms:modified>
</cp:coreProperties>
</file>